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rFonts w:ascii="Arial" w:cs="Arial" w:eastAsia="Arial" w:hAnsi="Arial"/>
          <w:sz w:val="26"/>
          <w:szCs w:val="26"/>
        </w:rPr>
      </w:pPr>
      <w:bookmarkStart w:colFirst="0" w:colLast="0" w:name="_75st4znfg4vj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Cooper Floyd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VP of Engineering | </w:t>
      </w:r>
      <w:r w:rsidDel="00000000" w:rsidR="00000000" w:rsidRPr="00000000">
        <w:rPr>
          <w:rFonts w:ascii="Arial" w:cs="Arial" w:eastAsia="Arial" w:hAnsi="Arial"/>
          <w:rtl w:val="0"/>
        </w:rPr>
        <w:t xml:space="preserve">cooperwfloyd@gmail.com</w:t>
      </w:r>
      <w:r w:rsidDel="00000000" w:rsidR="00000000" w:rsidRPr="00000000">
        <w:rPr>
          <w:rFonts w:ascii="Arial" w:cs="Arial" w:eastAsia="Arial" w:hAnsi="Arial"/>
          <w:rtl w:val="0"/>
        </w:rPr>
        <w:t xml:space="preserve"> | (515) 657-1764 | Dallas-Fort Worth Metroplex, TX | </w:t>
      </w:r>
      <w:r w:rsidDel="00000000" w:rsidR="00000000" w:rsidRPr="00000000">
        <w:rPr>
          <w:rFonts w:ascii="Arial" w:cs="Arial" w:eastAsia="Arial" w:hAnsi="Arial"/>
          <w:rtl w:val="0"/>
        </w:rPr>
        <w:t xml:space="preserve">linkedin.com/in/cooperwfloyd</w:t>
      </w:r>
      <w:r w:rsidDel="00000000" w:rsidR="00000000" w:rsidRPr="00000000">
        <w:rPr>
          <w:rFonts w:ascii="Arial" w:cs="Arial" w:eastAsia="Arial" w:hAnsi="Arial"/>
          <w:rtl w:val="0"/>
        </w:rPr>
        <w:t xml:space="preserve"> | </w:t>
      </w:r>
      <w:hyperlink r:id="rId6">
        <w:r w:rsidDel="00000000" w:rsidR="00000000" w:rsidRPr="00000000">
          <w:rPr>
            <w:rFonts w:ascii="Arial" w:cs="Arial" w:eastAsia="Arial" w:hAnsi="Arial"/>
            <w:rtl w:val="0"/>
          </w:rPr>
          <w:t xml:space="preserve">cooperwfloyd.com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spacing w:before="200" w:line="276" w:lineRule="auto"/>
        <w:rPr>
          <w:rFonts w:ascii="Arial" w:cs="Arial" w:eastAsia="Arial" w:hAnsi="Arial"/>
          <w:sz w:val="26"/>
          <w:szCs w:val="26"/>
        </w:rPr>
      </w:pPr>
      <w:bookmarkStart w:colFirst="0" w:colLast="0" w:name="_9bpbmdstxoe3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VP of Engineering with 9 years in web engineering, 4 of those leading web development teams through full-lifecycle delivery — from scoping and estimation through architecture, project and account management, development and launch. Background in agency delivery across clients, including Barron’s Top 100 RIA firms, global scientific research networks, large-scale philanthropies, a national professional sports team and multi-sector startups backed by premier VC firms. Specializes in CMS architecture, performance optimization, SEO, CRO, AEO/GEO and technical strategy that serves business objectives.</w:t>
      </w:r>
    </w:p>
    <w:p w:rsidR="00000000" w:rsidDel="00000000" w:rsidP="00000000" w:rsidRDefault="00000000" w:rsidRPr="00000000" w14:paraId="00000005">
      <w:pPr>
        <w:pStyle w:val="Heading2"/>
        <w:rPr>
          <w:rFonts w:ascii="Arial" w:cs="Arial" w:eastAsia="Arial" w:hAnsi="Arial"/>
          <w:sz w:val="26"/>
          <w:szCs w:val="26"/>
        </w:rPr>
      </w:pPr>
      <w:bookmarkStart w:colFirst="0" w:colLast="0" w:name="_iz6bl6q0vwne" w:id="2"/>
      <w:bookmarkEnd w:id="2"/>
      <w:r w:rsidDel="00000000" w:rsidR="00000000" w:rsidRPr="00000000">
        <w:rPr>
          <w:rtl w:val="0"/>
        </w:rPr>
        <w:t xml:space="preserve">Skills and technologies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AWS, HubSpot, WordPress, TypeScript, WCAG accessibility, JavaScript, Node.js, PHP, Tailwind, SQL, React, Next.js, REST APIs, GraphQL, Git, CI/CD systems, GitHub, Salesforce, Pardot, Figma, Google Analytics, web security.</w:t>
      </w:r>
    </w:p>
    <w:p w:rsidR="00000000" w:rsidDel="00000000" w:rsidP="00000000" w:rsidRDefault="00000000" w:rsidRPr="00000000" w14:paraId="00000007">
      <w:pPr>
        <w:pStyle w:val="Heading2"/>
        <w:spacing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371kgm44cb83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Relevant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o3admurf9ldh" w:id="4"/>
      <w:bookmarkEnd w:id="4"/>
      <w:r w:rsidDel="00000000" w:rsidR="00000000" w:rsidRPr="00000000">
        <w:rPr>
          <w:rtl w:val="0"/>
        </w:rPr>
        <w:t xml:space="preserve">Kurt Noble, Inc. (KNI) | 2021-Present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spacing w:before="0" w:lineRule="auto"/>
        <w:rPr>
          <w:rFonts w:ascii="Arial" w:cs="Arial" w:eastAsia="Arial" w:hAnsi="Arial"/>
        </w:rPr>
      </w:pPr>
      <w:bookmarkStart w:colFirst="0" w:colLast="0" w:name="_wgawh8j56drn" w:id="5"/>
      <w:bookmarkEnd w:id="5"/>
      <w:r w:rsidDel="00000000" w:rsidR="00000000" w:rsidRPr="00000000">
        <w:rPr>
          <w:rFonts w:ascii="Arial" w:cs="Arial" w:eastAsia="Arial" w:hAnsi="Arial"/>
          <w:rtl w:val="0"/>
        </w:rPr>
        <w:t xml:space="preserve">VP of Engineering | 2025-Present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Define and oversee engineering strategy and technical standards across all clients.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Evaluate and make final architecture decisions across projects, including CMS platform selection for daily content operations without developer dependency, headless vs. traditional implementations and third-party integration strategies.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Create and own estimation, scoping, timeline and project frameworks used across engineering and design departments, including phased dependency modeling, budget calculations, granular reporting and project templates.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Led a company-wide project management process and system transformation, including procurement of a new platform, unification of multiple project management tools and migrating data between systems.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Piloted the company-wide knowledge base — use of AI in development, design and development standards, onboarding processes, recurring project frameworks and cross-team technical documentation.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Partner with the leadership team on resourcing, capacity planning and engineering hiring decisions.</w:t>
      </w:r>
    </w:p>
    <w:p w:rsidR="00000000" w:rsidDel="00000000" w:rsidP="00000000" w:rsidRDefault="00000000" w:rsidRPr="00000000" w14:paraId="00000010">
      <w:pPr>
        <w:pStyle w:val="Heading4"/>
        <w:spacing w:after="0" w:line="240" w:lineRule="auto"/>
        <w:rPr>
          <w:rFonts w:ascii="Arial" w:cs="Arial" w:eastAsia="Arial" w:hAnsi="Arial"/>
        </w:rPr>
      </w:pPr>
      <w:bookmarkStart w:colFirst="0" w:colLast="0" w:name="_859nkucnshve" w:id="6"/>
      <w:bookmarkEnd w:id="6"/>
      <w:r w:rsidDel="00000000" w:rsidR="00000000" w:rsidRPr="00000000">
        <w:rPr>
          <w:rFonts w:ascii="Arial" w:cs="Arial" w:eastAsia="Arial" w:hAnsi="Arial"/>
          <w:rtl w:val="0"/>
        </w:rPr>
        <w:t xml:space="preserve">Engineering Manager | 2023-2025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Led direct client relationships as primary technical point of contact — creating scopes, estimates and timelines, tracking and reporting on projects through the full lifecycle, presenting architecture recommendations and managing delivery expectations and timelines.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Led multi-site migration and rebrand projects, preserving SEO equity, site health, domain authority and uninterrupted lead flow across properties.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Managed onboarding, performance reviews and mentorship within the engineering team.</w:t>
      </w:r>
    </w:p>
    <w:p w:rsidR="00000000" w:rsidDel="00000000" w:rsidP="00000000" w:rsidRDefault="00000000" w:rsidRPr="00000000" w14:paraId="00000014">
      <w:pPr>
        <w:pStyle w:val="Heading4"/>
        <w:rPr>
          <w:rFonts w:ascii="Arial" w:cs="Arial" w:eastAsia="Arial" w:hAnsi="Arial"/>
        </w:rPr>
      </w:pPr>
      <w:bookmarkStart w:colFirst="0" w:colLast="0" w:name="_lbyacstlqpw" w:id="7"/>
      <w:bookmarkEnd w:id="7"/>
      <w:r w:rsidDel="00000000" w:rsidR="00000000" w:rsidRPr="00000000">
        <w:rPr>
          <w:rFonts w:ascii="Arial" w:cs="Arial" w:eastAsia="Arial" w:hAnsi="Arial"/>
          <w:rtl w:val="0"/>
        </w:rPr>
        <w:t xml:space="preserve">Senior Web Developer | 2021-2023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Built and maintained WordPress and Next.js web properties for clients across multiple industries.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Served as technical lead on complex builds including multi-site WordPress architectures, headless CMS implementations and marketing platform integrations.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Developed component and utility libraries and custom WordPress themes.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Implemented server- and client-side security hardening (XSS, CSP, CORS, HSTS), performance optimization and SEO/CRO improvements across client properties.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Owned client-facing technical communication, including architecture proposals and project scoping.</w:t>
      </w:r>
    </w:p>
    <w:p w:rsidR="00000000" w:rsidDel="00000000" w:rsidP="00000000" w:rsidRDefault="00000000" w:rsidRPr="00000000" w14:paraId="0000001A">
      <w:pPr>
        <w:pStyle w:val="Heading3"/>
        <w:rPr>
          <w:rFonts w:ascii="Arial" w:cs="Arial" w:eastAsia="Arial" w:hAnsi="Arial"/>
        </w:rPr>
      </w:pPr>
      <w:bookmarkStart w:colFirst="0" w:colLast="0" w:name="_szke2uyak1d8" w:id="8"/>
      <w:bookmarkEnd w:id="8"/>
      <w:r w:rsidDel="00000000" w:rsidR="00000000" w:rsidRPr="00000000">
        <w:rPr>
          <w:rtl w:val="0"/>
        </w:rPr>
        <w:t xml:space="preserve">Trilix | 2019-2021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Interactive Designer and Web Developer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Developed, designed and managed websites and marketing email campaigns for world-leading agricultural and industrial companies, environmental law and non-profit groups and local utility providers.</w:t>
      </w:r>
    </w:p>
    <w:p w:rsidR="00000000" w:rsidDel="00000000" w:rsidP="00000000" w:rsidRDefault="00000000" w:rsidRPr="00000000" w14:paraId="0000001D">
      <w:pPr>
        <w:pStyle w:val="Heading2"/>
        <w:spacing w:after="200" w:lineRule="auto"/>
        <w:rPr>
          <w:rFonts w:ascii="Arial" w:cs="Arial" w:eastAsia="Arial" w:hAnsi="Arial"/>
        </w:rPr>
      </w:pPr>
      <w:bookmarkStart w:colFirst="0" w:colLast="0" w:name="_zbiqwe8vrmko" w:id="9"/>
      <w:bookmarkEnd w:id="9"/>
      <w:r w:rsidDel="00000000" w:rsidR="00000000" w:rsidRPr="00000000">
        <w:rPr>
          <w:rFonts w:ascii="Arial" w:cs="Arial" w:eastAsia="Arial" w:hAnsi="Arial"/>
          <w:rtl w:val="0"/>
        </w:rPr>
        <w:t xml:space="preserve">Education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Web Development, AAS | Des Moines Area Community College | 2020</w:t>
      </w:r>
    </w:p>
    <w:sectPr>
      <w:pgSz w:h="15840" w:w="12240" w:orient="portrait"/>
      <w:pgMar w:bottom="36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Inter" w:cs="Inter" w:eastAsia="Inter" w:hAnsi="Inter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76" w:lineRule="auto"/>
    </w:pPr>
    <w:rPr>
      <w:b w:val="1"/>
      <w:bCs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200" w:lineRule="auto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cooperwfloyd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